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7A18B2" w14:textId="1EB158A1" w:rsidR="000F1867" w:rsidRPr="00D133B7" w:rsidRDefault="000F1867" w:rsidP="000F1867">
      <w:pPr>
        <w:pStyle w:val="Standard"/>
        <w:rPr>
          <w:rFonts w:ascii="Arial" w:hAnsi="Arial"/>
          <w:b/>
          <w:bCs/>
          <w:u w:val="single"/>
        </w:rPr>
      </w:pPr>
      <w:r w:rsidRPr="00D133B7">
        <w:rPr>
          <w:rFonts w:ascii="Arial" w:hAnsi="Arial"/>
          <w:b/>
          <w:bCs/>
          <w:u w:val="single"/>
        </w:rPr>
        <w:t>Planning Application: PA/2025/</w:t>
      </w:r>
      <w:r w:rsidR="00D133B7" w:rsidRPr="00D133B7">
        <w:rPr>
          <w:rFonts w:ascii="Arial" w:hAnsi="Arial"/>
          <w:b/>
          <w:bCs/>
          <w:u w:val="single"/>
        </w:rPr>
        <w:t>1877</w:t>
      </w:r>
    </w:p>
    <w:p w14:paraId="0A126CD0" w14:textId="77777777" w:rsidR="000F1867" w:rsidRPr="00D133B7" w:rsidRDefault="000F1867" w:rsidP="000F1867">
      <w:pPr>
        <w:pStyle w:val="Standard"/>
        <w:rPr>
          <w:rFonts w:ascii="Arial" w:hAnsi="Arial"/>
          <w:b/>
          <w:bCs/>
          <w:u w:val="single"/>
        </w:rPr>
      </w:pPr>
    </w:p>
    <w:p w14:paraId="3C692249" w14:textId="68477F7B" w:rsidR="00D133B7" w:rsidRPr="00CA580D" w:rsidRDefault="00D133B7" w:rsidP="000F1867">
      <w:pPr>
        <w:pStyle w:val="Standard"/>
        <w:rPr>
          <w:rFonts w:ascii="Arial" w:hAnsi="Arial"/>
          <w:u w:val="single"/>
        </w:rPr>
      </w:pPr>
      <w:r w:rsidRPr="00CA580D">
        <w:rPr>
          <w:rFonts w:ascii="Arial" w:hAnsi="Arial"/>
          <w:u w:val="single"/>
        </w:rPr>
        <w:t>Change of use of land from agricultural to residential amenity land</w:t>
      </w:r>
      <w:r w:rsidR="0008421E" w:rsidRPr="00CA580D">
        <w:rPr>
          <w:rFonts w:ascii="Arial" w:hAnsi="Arial"/>
          <w:u w:val="single"/>
        </w:rPr>
        <w:t xml:space="preserve"> at </w:t>
      </w:r>
    </w:p>
    <w:p w14:paraId="5CF52CC4" w14:textId="4434E0F7" w:rsidR="00D133B7" w:rsidRPr="00CA580D" w:rsidRDefault="00D133B7" w:rsidP="000F1867">
      <w:pPr>
        <w:pStyle w:val="Standard"/>
        <w:rPr>
          <w:rFonts w:ascii="Arial" w:hAnsi="Arial"/>
          <w:u w:val="single"/>
        </w:rPr>
      </w:pPr>
      <w:r w:rsidRPr="00CA580D">
        <w:rPr>
          <w:rFonts w:ascii="Arial" w:hAnsi="Arial"/>
          <w:u w:val="single"/>
        </w:rPr>
        <w:t xml:space="preserve">Petworth, Blind Lane, </w:t>
      </w:r>
      <w:proofErr w:type="spellStart"/>
      <w:r w:rsidRPr="00CA580D">
        <w:rPr>
          <w:rFonts w:ascii="Arial" w:hAnsi="Arial"/>
          <w:u w:val="single"/>
        </w:rPr>
        <w:t>Mersham</w:t>
      </w:r>
      <w:proofErr w:type="spellEnd"/>
      <w:r w:rsidRPr="00CA580D">
        <w:rPr>
          <w:rFonts w:ascii="Arial" w:hAnsi="Arial"/>
          <w:u w:val="single"/>
        </w:rPr>
        <w:t xml:space="preserve"> TN25 7HA</w:t>
      </w:r>
    </w:p>
    <w:p w14:paraId="138A5D76" w14:textId="6D8D4398" w:rsidR="000F1867" w:rsidRPr="002422CC" w:rsidRDefault="000F1867" w:rsidP="000F1867">
      <w:pPr>
        <w:pStyle w:val="Heading2"/>
        <w:rPr>
          <w:rFonts w:ascii="Arial" w:hAnsi="Arial" w:cs="Arial"/>
          <w:b/>
          <w:bCs/>
          <w:color w:val="auto"/>
          <w:sz w:val="24"/>
          <w:szCs w:val="24"/>
          <w:u w:val="single"/>
        </w:rPr>
      </w:pPr>
      <w:r w:rsidRPr="002422CC">
        <w:rPr>
          <w:rFonts w:ascii="Arial" w:hAnsi="Arial" w:cs="Arial"/>
          <w:b/>
          <w:bCs/>
          <w:color w:val="auto"/>
          <w:sz w:val="24"/>
          <w:szCs w:val="24"/>
          <w:u w:val="single"/>
        </w:rPr>
        <w:t>Biodiversity Net Gain Statement</w:t>
      </w:r>
    </w:p>
    <w:p w14:paraId="13F0093B" w14:textId="77777777" w:rsidR="00C44B93" w:rsidRDefault="00C44B93" w:rsidP="0060590F">
      <w:pPr>
        <w:rPr>
          <w:rFonts w:ascii="Arial" w:hAnsi="Arial" w:cs="Arial"/>
          <w:sz w:val="24"/>
          <w:szCs w:val="24"/>
        </w:rPr>
      </w:pPr>
    </w:p>
    <w:p w14:paraId="2070DE80" w14:textId="306E5643" w:rsidR="0060590F" w:rsidRPr="0060590F" w:rsidRDefault="0060590F" w:rsidP="0060590F">
      <w:pPr>
        <w:rPr>
          <w:rFonts w:ascii="Arial" w:hAnsi="Arial" w:cs="Arial"/>
          <w:sz w:val="24"/>
          <w:szCs w:val="24"/>
        </w:rPr>
      </w:pPr>
      <w:r w:rsidRPr="0060590F">
        <w:rPr>
          <w:rFonts w:ascii="Arial" w:hAnsi="Arial" w:cs="Arial"/>
          <w:sz w:val="24"/>
          <w:szCs w:val="24"/>
        </w:rPr>
        <w:t>On the 12th of February 2024, legislation was introduced under Schedule 7A of the Town and Country Planning Act 1990 (as inserted by Schedule 14 of the Environment Act 2021) requiring developers to deliver a minimum of 10% Biodiversity Net Gain (BNG) over the existing habitat and biodiversity value on the site. As of the 2nd of April 2024, this new legislation was extended to small sites that would impact more than 25 square metres (5m by 5m) of on-site habitat or 5 metres of on-site linear habitats such as hedgerows, subject to certain exemptions.</w:t>
      </w:r>
    </w:p>
    <w:p w14:paraId="2514A653" w14:textId="77777777" w:rsidR="0060590F" w:rsidRPr="0060590F" w:rsidRDefault="0060590F" w:rsidP="0060590F">
      <w:pPr>
        <w:rPr>
          <w:rFonts w:ascii="Arial" w:hAnsi="Arial" w:cs="Arial"/>
          <w:sz w:val="24"/>
          <w:szCs w:val="24"/>
        </w:rPr>
      </w:pPr>
      <w:r w:rsidRPr="0060590F">
        <w:rPr>
          <w:rFonts w:ascii="Arial" w:hAnsi="Arial" w:cs="Arial"/>
          <w:sz w:val="24"/>
          <w:szCs w:val="24"/>
        </w:rPr>
        <w:t>Details of the exemptions to the mandatory requirement were set out in the government’s response to the BNG regulations and policy consultation. The exemptions legislation (The Biodiversity Gain Requirements (Exemptions) Regulations (2024)) was laid before parliament on 19th of January and became law on 12th of February 2024. One such exemption is development below a ‘de minimis’ threshold and applies to development that does not impact an on-site priority habitat and if there is an impact on other on-site habitat, that impact must be on less than 25 square metres of on-site habitat with a biodiversity value greater than zero and on less than 5 metres of on-site linear habitat (such as a hedgerow). Another exemption from providing the mandatory 10% net gain to biodiversity relates to retrospective permission. Retrospective applications are not required to provide this enhancement.</w:t>
      </w:r>
    </w:p>
    <w:p w14:paraId="59681934" w14:textId="77777777" w:rsidR="005E360B" w:rsidRDefault="007221CC" w:rsidP="007221CC">
      <w:pPr>
        <w:rPr>
          <w:rFonts w:ascii="Arial" w:hAnsi="Arial" w:cs="Arial"/>
          <w:sz w:val="24"/>
          <w:szCs w:val="24"/>
          <w:u w:val="single"/>
        </w:rPr>
      </w:pPr>
      <w:r w:rsidRPr="00D133B7">
        <w:rPr>
          <w:rFonts w:ascii="Arial" w:hAnsi="Arial" w:cs="Arial"/>
          <w:sz w:val="24"/>
          <w:szCs w:val="24"/>
        </w:rPr>
        <w:t xml:space="preserve">These exemptions are designed to ensure that BNG does not apply to either very </w:t>
      </w:r>
      <w:r w:rsidR="00901A4E" w:rsidRPr="00D133B7">
        <w:rPr>
          <w:rFonts w:ascii="Arial" w:hAnsi="Arial" w:cs="Arial"/>
          <w:sz w:val="24"/>
          <w:szCs w:val="24"/>
        </w:rPr>
        <w:t>small-scale</w:t>
      </w:r>
      <w:r w:rsidRPr="00D133B7">
        <w:rPr>
          <w:rFonts w:ascii="Arial" w:hAnsi="Arial" w:cs="Arial"/>
          <w:sz w:val="24"/>
          <w:szCs w:val="24"/>
        </w:rPr>
        <w:t xml:space="preserve"> development, development which does not impact habitat, </w:t>
      </w:r>
      <w:r w:rsidRPr="00D133B7">
        <w:rPr>
          <w:rFonts w:ascii="Arial" w:hAnsi="Arial" w:cs="Arial"/>
          <w:sz w:val="24"/>
          <w:szCs w:val="24"/>
          <w:u w:val="single"/>
        </w:rPr>
        <w:t>or development which has previously taken place</w:t>
      </w:r>
      <w:r w:rsidR="005E360B">
        <w:rPr>
          <w:rFonts w:ascii="Arial" w:hAnsi="Arial" w:cs="Arial"/>
          <w:sz w:val="24"/>
          <w:szCs w:val="24"/>
          <w:u w:val="single"/>
        </w:rPr>
        <w:t xml:space="preserve"> (my emphasis).</w:t>
      </w:r>
    </w:p>
    <w:p w14:paraId="2F713731" w14:textId="71B37FF1" w:rsidR="002E43F2" w:rsidRDefault="007221CC" w:rsidP="007221CC">
      <w:pPr>
        <w:rPr>
          <w:rFonts w:ascii="Arial" w:hAnsi="Arial" w:cs="Arial"/>
          <w:sz w:val="24"/>
          <w:szCs w:val="24"/>
        </w:rPr>
      </w:pPr>
      <w:r w:rsidRPr="00D133B7">
        <w:rPr>
          <w:rFonts w:ascii="Arial" w:hAnsi="Arial" w:cs="Arial"/>
          <w:sz w:val="24"/>
          <w:szCs w:val="24"/>
        </w:rPr>
        <w:t>This application seeks permission to c</w:t>
      </w:r>
      <w:r w:rsidR="001B0E3C" w:rsidRPr="00D133B7">
        <w:rPr>
          <w:rFonts w:ascii="Arial" w:hAnsi="Arial" w:cs="Arial"/>
          <w:sz w:val="24"/>
          <w:szCs w:val="24"/>
        </w:rPr>
        <w:t>hange the use of land, which by default</w:t>
      </w:r>
      <w:r w:rsidR="00901A4E">
        <w:rPr>
          <w:rFonts w:ascii="Arial" w:hAnsi="Arial" w:cs="Arial"/>
          <w:sz w:val="24"/>
          <w:szCs w:val="24"/>
        </w:rPr>
        <w:t>,</w:t>
      </w:r>
      <w:r w:rsidR="001B0E3C" w:rsidRPr="00D133B7">
        <w:rPr>
          <w:rFonts w:ascii="Arial" w:hAnsi="Arial" w:cs="Arial"/>
          <w:sz w:val="24"/>
          <w:szCs w:val="24"/>
        </w:rPr>
        <w:t xml:space="preserve"> </w:t>
      </w:r>
      <w:r w:rsidR="001A5FC4" w:rsidRPr="00D133B7">
        <w:rPr>
          <w:rFonts w:ascii="Arial" w:hAnsi="Arial" w:cs="Arial"/>
          <w:sz w:val="24"/>
          <w:szCs w:val="24"/>
        </w:rPr>
        <w:t>because of</w:t>
      </w:r>
      <w:r w:rsidR="001B0E3C" w:rsidRPr="00D133B7">
        <w:rPr>
          <w:rFonts w:ascii="Arial" w:hAnsi="Arial" w:cs="Arial"/>
          <w:sz w:val="24"/>
          <w:szCs w:val="24"/>
        </w:rPr>
        <w:t xml:space="preserve"> a</w:t>
      </w:r>
      <w:r w:rsidR="002422CC">
        <w:rPr>
          <w:rFonts w:ascii="Arial" w:hAnsi="Arial" w:cs="Arial"/>
          <w:sz w:val="24"/>
          <w:szCs w:val="24"/>
        </w:rPr>
        <w:t xml:space="preserve"> dismissed </w:t>
      </w:r>
      <w:r w:rsidR="001B0E3C" w:rsidRPr="00D133B7">
        <w:rPr>
          <w:rFonts w:ascii="Arial" w:hAnsi="Arial" w:cs="Arial"/>
          <w:sz w:val="24"/>
          <w:szCs w:val="24"/>
        </w:rPr>
        <w:t>enforcement notice</w:t>
      </w:r>
      <w:r w:rsidR="002422CC">
        <w:rPr>
          <w:rFonts w:ascii="Arial" w:hAnsi="Arial" w:cs="Arial"/>
          <w:sz w:val="24"/>
          <w:szCs w:val="24"/>
        </w:rPr>
        <w:t xml:space="preserve"> appeal</w:t>
      </w:r>
      <w:r w:rsidR="001A5FC4">
        <w:rPr>
          <w:rFonts w:ascii="Arial" w:hAnsi="Arial" w:cs="Arial"/>
          <w:sz w:val="24"/>
          <w:szCs w:val="24"/>
        </w:rPr>
        <w:t>,</w:t>
      </w:r>
      <w:r w:rsidR="001B0E3C" w:rsidRPr="00D133B7">
        <w:rPr>
          <w:rFonts w:ascii="Arial" w:hAnsi="Arial" w:cs="Arial"/>
          <w:sz w:val="24"/>
          <w:szCs w:val="24"/>
        </w:rPr>
        <w:t xml:space="preserve"> is now agricultural</w:t>
      </w:r>
      <w:r w:rsidRPr="00D133B7">
        <w:rPr>
          <w:rFonts w:ascii="Arial" w:hAnsi="Arial" w:cs="Arial"/>
          <w:sz w:val="24"/>
          <w:szCs w:val="24"/>
        </w:rPr>
        <w:t xml:space="preserve">, with no </w:t>
      </w:r>
      <w:r w:rsidR="00EB0525" w:rsidRPr="00D133B7">
        <w:rPr>
          <w:rFonts w:ascii="Arial" w:hAnsi="Arial" w:cs="Arial"/>
          <w:sz w:val="24"/>
          <w:szCs w:val="24"/>
        </w:rPr>
        <w:t>building</w:t>
      </w:r>
      <w:r w:rsidR="00C82AF3" w:rsidRPr="00D133B7">
        <w:rPr>
          <w:rFonts w:ascii="Arial" w:hAnsi="Arial" w:cs="Arial"/>
          <w:sz w:val="24"/>
          <w:szCs w:val="24"/>
        </w:rPr>
        <w:t xml:space="preserve"> works proposed. </w:t>
      </w:r>
      <w:r w:rsidR="000148BF">
        <w:rPr>
          <w:rFonts w:ascii="Arial" w:hAnsi="Arial" w:cs="Arial"/>
          <w:sz w:val="24"/>
          <w:szCs w:val="24"/>
        </w:rPr>
        <w:t>A</w:t>
      </w:r>
      <w:r w:rsidR="007C6658">
        <w:rPr>
          <w:rFonts w:ascii="Arial" w:hAnsi="Arial" w:cs="Arial"/>
          <w:sz w:val="24"/>
          <w:szCs w:val="24"/>
        </w:rPr>
        <w:t>s</w:t>
      </w:r>
      <w:r w:rsidR="000148BF">
        <w:rPr>
          <w:rFonts w:ascii="Arial" w:hAnsi="Arial" w:cs="Arial"/>
          <w:sz w:val="24"/>
          <w:szCs w:val="24"/>
        </w:rPr>
        <w:t xml:space="preserve"> explained in the supporting statement, the land </w:t>
      </w:r>
      <w:r w:rsidR="001A5FC4">
        <w:rPr>
          <w:rFonts w:ascii="Arial" w:hAnsi="Arial" w:cs="Arial"/>
          <w:sz w:val="24"/>
          <w:szCs w:val="24"/>
        </w:rPr>
        <w:t>was not</w:t>
      </w:r>
      <w:r w:rsidR="000148BF">
        <w:rPr>
          <w:rFonts w:ascii="Arial" w:hAnsi="Arial" w:cs="Arial"/>
          <w:sz w:val="24"/>
          <w:szCs w:val="24"/>
        </w:rPr>
        <w:t xml:space="preserve"> used</w:t>
      </w:r>
      <w:r w:rsidR="002E43F2">
        <w:rPr>
          <w:rFonts w:ascii="Arial" w:hAnsi="Arial" w:cs="Arial"/>
          <w:sz w:val="24"/>
          <w:szCs w:val="24"/>
        </w:rPr>
        <w:t xml:space="preserve"> for</w:t>
      </w:r>
      <w:r w:rsidR="00330978">
        <w:rPr>
          <w:rFonts w:ascii="Arial" w:hAnsi="Arial" w:cs="Arial"/>
          <w:sz w:val="24"/>
          <w:szCs w:val="24"/>
        </w:rPr>
        <w:t xml:space="preserve"> agricultur</w:t>
      </w:r>
      <w:r w:rsidR="002E43F2">
        <w:rPr>
          <w:rFonts w:ascii="Arial" w:hAnsi="Arial" w:cs="Arial"/>
          <w:sz w:val="24"/>
          <w:szCs w:val="24"/>
        </w:rPr>
        <w:t>e</w:t>
      </w:r>
      <w:r w:rsidR="00330978">
        <w:rPr>
          <w:rFonts w:ascii="Arial" w:hAnsi="Arial" w:cs="Arial"/>
          <w:sz w:val="24"/>
          <w:szCs w:val="24"/>
        </w:rPr>
        <w:t xml:space="preserve"> </w:t>
      </w:r>
      <w:r w:rsidR="00B809D1">
        <w:rPr>
          <w:rFonts w:ascii="Arial" w:hAnsi="Arial" w:cs="Arial"/>
          <w:sz w:val="24"/>
          <w:szCs w:val="24"/>
        </w:rPr>
        <w:t xml:space="preserve">when the enforcement notice was served </w:t>
      </w:r>
      <w:r w:rsidR="007C6658">
        <w:rPr>
          <w:rFonts w:ascii="Arial" w:hAnsi="Arial" w:cs="Arial"/>
          <w:sz w:val="24"/>
          <w:szCs w:val="24"/>
        </w:rPr>
        <w:t xml:space="preserve">in </w:t>
      </w:r>
      <w:r w:rsidR="001A5FC4">
        <w:rPr>
          <w:rFonts w:ascii="Arial" w:hAnsi="Arial" w:cs="Arial"/>
          <w:sz w:val="24"/>
          <w:szCs w:val="24"/>
        </w:rPr>
        <w:t>2017,</w:t>
      </w:r>
      <w:r w:rsidR="00B809D1">
        <w:rPr>
          <w:rFonts w:ascii="Arial" w:hAnsi="Arial" w:cs="Arial"/>
          <w:sz w:val="24"/>
          <w:szCs w:val="24"/>
        </w:rPr>
        <w:t xml:space="preserve"> </w:t>
      </w:r>
      <w:r w:rsidR="001A5FC4">
        <w:rPr>
          <w:rFonts w:ascii="Arial" w:hAnsi="Arial" w:cs="Arial"/>
          <w:sz w:val="24"/>
          <w:szCs w:val="24"/>
        </w:rPr>
        <w:t>and it was not used for agriculture for some time before then</w:t>
      </w:r>
      <w:r w:rsidR="007C6658">
        <w:rPr>
          <w:rFonts w:ascii="Arial" w:hAnsi="Arial" w:cs="Arial"/>
          <w:sz w:val="24"/>
          <w:szCs w:val="24"/>
        </w:rPr>
        <w:t xml:space="preserve">. </w:t>
      </w:r>
    </w:p>
    <w:p w14:paraId="55623713" w14:textId="1B5E0581" w:rsidR="00EB0525" w:rsidRPr="00D133B7" w:rsidRDefault="007221CC" w:rsidP="007221CC">
      <w:pPr>
        <w:rPr>
          <w:rFonts w:ascii="Arial" w:eastAsia="Aptos" w:hAnsi="Arial" w:cs="Arial"/>
          <w:kern w:val="0"/>
          <w:sz w:val="24"/>
          <w:szCs w:val="24"/>
        </w:rPr>
      </w:pPr>
      <w:r w:rsidRPr="00D133B7">
        <w:rPr>
          <w:rFonts w:ascii="Arial" w:hAnsi="Arial" w:cs="Arial"/>
          <w:sz w:val="24"/>
          <w:szCs w:val="24"/>
        </w:rPr>
        <w:t xml:space="preserve">As such, </w:t>
      </w:r>
      <w:r w:rsidR="0058735B" w:rsidRPr="00D133B7">
        <w:rPr>
          <w:rFonts w:ascii="Arial" w:hAnsi="Arial" w:cs="Arial"/>
          <w:sz w:val="24"/>
          <w:szCs w:val="24"/>
        </w:rPr>
        <w:t xml:space="preserve">the land </w:t>
      </w:r>
      <w:r w:rsidR="00D30B4F" w:rsidRPr="00D133B7">
        <w:rPr>
          <w:rFonts w:ascii="Arial" w:hAnsi="Arial" w:cs="Arial"/>
          <w:sz w:val="24"/>
          <w:szCs w:val="24"/>
        </w:rPr>
        <w:t xml:space="preserve">has </w:t>
      </w:r>
      <w:r w:rsidR="00D30B4F" w:rsidRPr="00D133B7">
        <w:rPr>
          <w:rFonts w:ascii="Arial" w:eastAsia="Aptos" w:hAnsi="Arial" w:cs="Arial"/>
          <w:kern w:val="0"/>
          <w:sz w:val="24"/>
          <w:szCs w:val="24"/>
        </w:rPr>
        <w:t>limited biodiversity consisting of a grass monoculture</w:t>
      </w:r>
      <w:r w:rsidR="00D30B4F" w:rsidRPr="00D133B7">
        <w:rPr>
          <w:rFonts w:ascii="Arial" w:eastAsia="Aptos" w:hAnsi="Arial" w:cs="Arial"/>
          <w:kern w:val="0"/>
          <w:sz w:val="24"/>
          <w:szCs w:val="24"/>
        </w:rPr>
        <w:t xml:space="preserve"> which has been used </w:t>
      </w:r>
      <w:r w:rsidR="003959C5" w:rsidRPr="00D133B7">
        <w:rPr>
          <w:rFonts w:ascii="Arial" w:eastAsia="Aptos" w:hAnsi="Arial" w:cs="Arial"/>
          <w:kern w:val="0"/>
          <w:sz w:val="24"/>
          <w:szCs w:val="24"/>
        </w:rPr>
        <w:t xml:space="preserve">for miscellaneous storage and dumping. </w:t>
      </w:r>
      <w:r w:rsidR="00EB0525" w:rsidRPr="00D133B7">
        <w:rPr>
          <w:rFonts w:ascii="Arial" w:eastAsia="Aptos" w:hAnsi="Arial" w:cs="Arial"/>
          <w:kern w:val="0"/>
          <w:sz w:val="24"/>
          <w:szCs w:val="24"/>
        </w:rPr>
        <w:t>No irreplaceable habitats (corresponding to the descriptions in column 1 of the Schedule to the Biodiversity Gain Requirements (Irreplaceable Habitat) Regulations 2024) exist on the application site on the date of the application and no on-site habitat has been lost because of activities carried out before the submission of the application</w:t>
      </w:r>
      <w:r w:rsidR="00EB0525" w:rsidRPr="00D133B7">
        <w:rPr>
          <w:rFonts w:ascii="Arial" w:eastAsia="Aptos" w:hAnsi="Arial" w:cs="Arial"/>
          <w:kern w:val="0"/>
          <w:sz w:val="24"/>
          <w:szCs w:val="24"/>
        </w:rPr>
        <w:t xml:space="preserve">. </w:t>
      </w:r>
    </w:p>
    <w:p w14:paraId="4D0D5692" w14:textId="36DE0F29" w:rsidR="007B55DE" w:rsidRPr="00D133B7" w:rsidRDefault="007221CC">
      <w:pPr>
        <w:rPr>
          <w:rFonts w:ascii="Arial" w:hAnsi="Arial" w:cs="Arial"/>
          <w:sz w:val="24"/>
          <w:szCs w:val="24"/>
        </w:rPr>
      </w:pPr>
      <w:r w:rsidRPr="00D133B7">
        <w:rPr>
          <w:rFonts w:ascii="Arial" w:hAnsi="Arial" w:cs="Arial"/>
          <w:sz w:val="24"/>
          <w:szCs w:val="24"/>
        </w:rPr>
        <w:t>It is therefore considered that the site is exempt from being required to provide a minimum of 10% Biodiversity Net Gain and meets both the retrospective exemption and the de minimis exemption as pursuant to the exemptions set out in Paragraph 17 of Schedule 7A of the Town and Country Planning Act 1990 and the Biodiversity Gain Requirements (Exemptions) Regulations 2024.</w:t>
      </w:r>
    </w:p>
    <w:sectPr w:rsidR="007B55DE" w:rsidRPr="00D133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A53"/>
    <w:rsid w:val="000148BF"/>
    <w:rsid w:val="0008421E"/>
    <w:rsid w:val="000F1867"/>
    <w:rsid w:val="001A5FC4"/>
    <w:rsid w:val="001B0E3C"/>
    <w:rsid w:val="002422CC"/>
    <w:rsid w:val="002E43F2"/>
    <w:rsid w:val="00330978"/>
    <w:rsid w:val="003959C5"/>
    <w:rsid w:val="0058735B"/>
    <w:rsid w:val="005E360B"/>
    <w:rsid w:val="0060590F"/>
    <w:rsid w:val="006A612B"/>
    <w:rsid w:val="007221CC"/>
    <w:rsid w:val="00736653"/>
    <w:rsid w:val="007B55DE"/>
    <w:rsid w:val="007C6658"/>
    <w:rsid w:val="00830A53"/>
    <w:rsid w:val="008A4573"/>
    <w:rsid w:val="008E1E2B"/>
    <w:rsid w:val="00901A4E"/>
    <w:rsid w:val="00947006"/>
    <w:rsid w:val="009D4233"/>
    <w:rsid w:val="00A95D28"/>
    <w:rsid w:val="00B809D1"/>
    <w:rsid w:val="00C44B93"/>
    <w:rsid w:val="00C7548D"/>
    <w:rsid w:val="00C82AF3"/>
    <w:rsid w:val="00CA580D"/>
    <w:rsid w:val="00D133B7"/>
    <w:rsid w:val="00D30B4F"/>
    <w:rsid w:val="00DB377C"/>
    <w:rsid w:val="00DB596D"/>
    <w:rsid w:val="00EB0525"/>
    <w:rsid w:val="00FB0D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9C677"/>
  <w15:chartTrackingRefBased/>
  <w15:docId w15:val="{7E20CB0B-E7AF-4CC0-A0C2-DDF7651A0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0A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0A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0A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0A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0A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0A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0A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0A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0A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0A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0A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30A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0A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0A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0A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0A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0A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0A53"/>
    <w:rPr>
      <w:rFonts w:eastAsiaTheme="majorEastAsia" w:cstheme="majorBidi"/>
      <w:color w:val="272727" w:themeColor="text1" w:themeTint="D8"/>
    </w:rPr>
  </w:style>
  <w:style w:type="paragraph" w:styleId="Title">
    <w:name w:val="Title"/>
    <w:basedOn w:val="Normal"/>
    <w:next w:val="Normal"/>
    <w:link w:val="TitleChar"/>
    <w:uiPriority w:val="10"/>
    <w:qFormat/>
    <w:rsid w:val="00830A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0A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0A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0A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0A53"/>
    <w:pPr>
      <w:spacing w:before="160"/>
      <w:jc w:val="center"/>
    </w:pPr>
    <w:rPr>
      <w:i/>
      <w:iCs/>
      <w:color w:val="404040" w:themeColor="text1" w:themeTint="BF"/>
    </w:rPr>
  </w:style>
  <w:style w:type="character" w:customStyle="1" w:styleId="QuoteChar">
    <w:name w:val="Quote Char"/>
    <w:basedOn w:val="DefaultParagraphFont"/>
    <w:link w:val="Quote"/>
    <w:uiPriority w:val="29"/>
    <w:rsid w:val="00830A53"/>
    <w:rPr>
      <w:i/>
      <w:iCs/>
      <w:color w:val="404040" w:themeColor="text1" w:themeTint="BF"/>
    </w:rPr>
  </w:style>
  <w:style w:type="paragraph" w:styleId="ListParagraph">
    <w:name w:val="List Paragraph"/>
    <w:basedOn w:val="Normal"/>
    <w:uiPriority w:val="34"/>
    <w:qFormat/>
    <w:rsid w:val="00830A53"/>
    <w:pPr>
      <w:ind w:left="720"/>
      <w:contextualSpacing/>
    </w:pPr>
  </w:style>
  <w:style w:type="character" w:styleId="IntenseEmphasis">
    <w:name w:val="Intense Emphasis"/>
    <w:basedOn w:val="DefaultParagraphFont"/>
    <w:uiPriority w:val="21"/>
    <w:qFormat/>
    <w:rsid w:val="00830A53"/>
    <w:rPr>
      <w:i/>
      <w:iCs/>
      <w:color w:val="0F4761" w:themeColor="accent1" w:themeShade="BF"/>
    </w:rPr>
  </w:style>
  <w:style w:type="paragraph" w:styleId="IntenseQuote">
    <w:name w:val="Intense Quote"/>
    <w:basedOn w:val="Normal"/>
    <w:next w:val="Normal"/>
    <w:link w:val="IntenseQuoteChar"/>
    <w:uiPriority w:val="30"/>
    <w:qFormat/>
    <w:rsid w:val="00830A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0A53"/>
    <w:rPr>
      <w:i/>
      <w:iCs/>
      <w:color w:val="0F4761" w:themeColor="accent1" w:themeShade="BF"/>
    </w:rPr>
  </w:style>
  <w:style w:type="character" w:styleId="IntenseReference">
    <w:name w:val="Intense Reference"/>
    <w:basedOn w:val="DefaultParagraphFont"/>
    <w:uiPriority w:val="32"/>
    <w:qFormat/>
    <w:rsid w:val="00830A53"/>
    <w:rPr>
      <w:b/>
      <w:bCs/>
      <w:smallCaps/>
      <w:color w:val="0F4761" w:themeColor="accent1" w:themeShade="BF"/>
      <w:spacing w:val="5"/>
    </w:rPr>
  </w:style>
  <w:style w:type="character" w:styleId="Hyperlink">
    <w:name w:val="Hyperlink"/>
    <w:basedOn w:val="DefaultParagraphFont"/>
    <w:uiPriority w:val="99"/>
    <w:unhideWhenUsed/>
    <w:rsid w:val="00830A53"/>
    <w:rPr>
      <w:color w:val="467886" w:themeColor="hyperlink"/>
      <w:u w:val="single"/>
    </w:rPr>
  </w:style>
  <w:style w:type="character" w:styleId="UnresolvedMention">
    <w:name w:val="Unresolved Mention"/>
    <w:basedOn w:val="DefaultParagraphFont"/>
    <w:uiPriority w:val="99"/>
    <w:semiHidden/>
    <w:unhideWhenUsed/>
    <w:rsid w:val="00830A53"/>
    <w:rPr>
      <w:color w:val="605E5C"/>
      <w:shd w:val="clear" w:color="auto" w:fill="E1DFDD"/>
    </w:rPr>
  </w:style>
  <w:style w:type="paragraph" w:customStyle="1" w:styleId="Standard">
    <w:name w:val="Standard"/>
    <w:rsid w:val="000F1867"/>
    <w:pPr>
      <w:suppressAutoHyphens/>
      <w:autoSpaceDN w:val="0"/>
      <w:spacing w:after="0" w:line="240" w:lineRule="auto"/>
    </w:pPr>
    <w:rPr>
      <w:rFonts w:ascii="Liberation Serif" w:eastAsia="NSimSun" w:hAnsi="Liberation Serif" w:cs="Arial"/>
      <w:kern w:val="3"/>
      <w:sz w:val="24"/>
      <w:szCs w:val="24"/>
      <w:lang w:eastAsia="zh-CN" w:bidi="hi-IN"/>
      <w14:ligatures w14:val="none"/>
    </w:rPr>
  </w:style>
  <w:style w:type="character" w:styleId="FollowedHyperlink">
    <w:name w:val="FollowedHyperlink"/>
    <w:basedOn w:val="DefaultParagraphFont"/>
    <w:uiPriority w:val="99"/>
    <w:semiHidden/>
    <w:unhideWhenUsed/>
    <w:rsid w:val="0094700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457</Words>
  <Characters>2611</Characters>
  <Application>Microsoft Office Word</Application>
  <DocSecurity>0</DocSecurity>
  <Lines>21</Lines>
  <Paragraphs>6</Paragraphs>
  <ScaleCrop>false</ScaleCrop>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Jarman</dc:creator>
  <cp:keywords/>
  <dc:description/>
  <cp:lastModifiedBy>Rebecca Jarman</cp:lastModifiedBy>
  <cp:revision>2</cp:revision>
  <dcterms:created xsi:type="dcterms:W3CDTF">2025-10-12T14:19:00Z</dcterms:created>
  <dcterms:modified xsi:type="dcterms:W3CDTF">2025-10-12T14:19:00Z</dcterms:modified>
</cp:coreProperties>
</file>